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numPr>
          <w:numId w:val="0"/>
        </w:numPr>
        <w:kinsoku/>
        <w:wordWrap/>
        <w:overflowPunct/>
        <w:topLinePunct w:val="0"/>
        <w:autoSpaceDE/>
        <w:autoSpaceDN/>
        <w:bidi w:val="0"/>
        <w:spacing w:line="360" w:lineRule="auto"/>
        <w:ind w:leftChars="0"/>
        <w:jc w:val="center"/>
        <w:textAlignment w:val="auto"/>
        <w:rPr>
          <w:rFonts w:hint="eastAsia" w:ascii="宋体" w:hAnsi="宋体" w:eastAsia="宋体" w:cs="宋体"/>
          <w:b/>
          <w:bCs/>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医疗服务管理平台技术需求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本项目旨在通过建设医政管理平台，实现以下目标：</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提高医疗服务质量：通过智能化的管理和服务流程，确保患者接受到更加精准、高效的医疗服务；</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建立规范的医务人员档案管理体系，确保人员信息准确、完整、可查询；</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提供依法执业管理功能，监控医务人员执业资格和合规性；</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建立医疗技术评估和更新机制，促进医院技术水平的提升；</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强化医疗质量管理，实现医疗服务过程的实时监控和评估；</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系统管理医院科研课题和成果，促进学术交流和成果转化；</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完善医院规章制度体系，确保医院运营的规范性和有序性；</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简化医务日常管理工作流程，提高工作效率；</w:t>
      </w:r>
    </w:p>
    <w:p>
      <w:pPr>
        <w:keepNext w:val="0"/>
        <w:keepLines w:val="0"/>
        <w:pageBreakBefore w:val="0"/>
        <w:widowControl w:val="0"/>
        <w:numPr>
          <w:ilvl w:val="0"/>
          <w:numId w:val="1"/>
        </w:numPr>
        <w:tabs>
          <w:tab w:val="left" w:pos="0"/>
          <w:tab w:val="left" w:pos="840"/>
          <w:tab w:val="clear" w:pos="420"/>
        </w:tabs>
        <w:kinsoku/>
        <w:wordWrap/>
        <w:overflowPunct/>
        <w:topLinePunct w:val="0"/>
        <w:autoSpaceDE/>
        <w:autoSpaceDN/>
        <w:bidi w:val="0"/>
        <w:adjustRightInd w:val="0"/>
        <w:snapToGrid w:val="0"/>
        <w:spacing w:line="360" w:lineRule="auto"/>
        <w:ind w:left="0" w:leftChars="0" w:firstLine="360" w:firstLineChars="15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建立健全的投诉处理机制，提升医院服务质量和信誉。</w:t>
      </w:r>
    </w:p>
    <w:p>
      <w:pPr>
        <w:pStyle w:val="2"/>
        <w:keepNext/>
        <w:keepLines/>
        <w:pageBreakBefore w:val="0"/>
        <w:widowControl w:val="0"/>
        <w:numPr>
          <w:ilvl w:val="0"/>
          <w:numId w:val="2"/>
        </w:numPr>
        <w:kinsoku/>
        <w:wordWrap/>
        <w:overflowPunct/>
        <w:topLinePunct w:val="0"/>
        <w:autoSpaceDE/>
        <w:autoSpaceDN/>
        <w:bidi w:val="0"/>
        <w:adjustRightInd/>
        <w:snapToGrid/>
        <w:spacing w:before="220" w:after="210" w:line="360" w:lineRule="auto"/>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建设内容</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医务PC门户首页</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为各岗位人员提供医务工作台首页门户，各类应用入口、重点关注指标、预警提醒、医患关系、协同办公审批及医疗质量评分等，方便各岗位人员可快速了解医疗质量情况及待办事务，提高工作效率。</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专业技术档案库</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专业档案管理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专业技术档案：支持个人输入、科室审核的模式。档案至少包括基本信息、学历信息、资格证书、执业证书、工作经历、 院内工作调动、入院前工作经历、医师状态、评优档案、专著教材编写情况、科研项目情况、培训情况、外出学习、继续教育、技术竞赛、重要学术活动、学会任职、发表论文、参编著作、专利、科研课题、新技术新项目、获得荣誉、投诉纠纷、手术权限、医疗活动权限、医疗安全行为记录、指令性任务信息、多点执业信息、证书信息、等情况登记等。支持提供技术档案信息的预警及预判的提醒通知。</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科室档案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科室档案：支持科室输入、医务审核的模式。科室档案支持管理科室花名册，支持科室资质汇总，科室诊疗目录汇总，支持根据医院需求灵活调整科室档案内容。支持提供科室档案信息的预警及预判的提醒通知。</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诊疗组维护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诊疗组管理：在实现诊疗流程的标准化、高效化和协同化，通过优化资源配置、提升医疗服务质量，确保患者获得及时、准确的诊断和治疗。具体功能包括：科室诊疗组维护、诊疗组成员调动、诊疗组分布查阅等。</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科室诊疗组维护：设置诊疗组组长、组员、启用日期等信息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ab/>
      </w:r>
      <w:r>
        <w:rPr>
          <w:rFonts w:hint="eastAsia" w:ascii="宋体" w:hAnsi="宋体" w:eastAsia="宋体" w:cs="宋体"/>
          <w:b w:val="0"/>
          <w:color w:val="auto"/>
          <w:kern w:val="2"/>
          <w:sz w:val="24"/>
          <w:szCs w:val="24"/>
          <w:lang w:val="en-US" w:eastAsia="zh-CN" w:bidi="ar-SA"/>
        </w:rPr>
        <w:t xml:space="preserve">诊疗组成员调动：如遇特殊情况可以调动其他组成员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诊疗组分布查阅表：诊疗组人员分布一览图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诊疗组历史分布查阅表：支持查看诊疗组人员分布历史记录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诊疗组接口：可支持同步人事所维护诊疗组信息 </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医疗专业技术管理（医疗权限管理）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包括资格准入管理、新技术新项目管理、限制类技术管理及统计分析。</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资格准入管理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资格准入包括：手术资格、急诊越级手术资格、有创操作资格、高风险诊疗技术资格、麻醉医师资格、诊疗技术资格、检查报告/操作资格、毒麻药品处方资格、抗生素处方资格、高压氧操作资格、会诊资格等审批管理。支持按医院需求灵活调整管理流程、审批通过的结果自动同步到医师、科室档案；支持对资格准入的预警及预判的提醒通知。</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新技术新项目管理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支持新技术新项目申请、审批、评价，依据《新技术新项目管理办法》， 项目负责人如实填写《新技术新项目申请书》及相关准备材料，涉及 伦理问题的须填写《新技术新项目临床应用伦理审批表》，再经过医务部门审查，技术伦理委员会论证，新技术新项目专家组讨论后批准实施。实施过程中，按照质量控制标准，确定是否终止。医务部门进行全程追踪、监管，直至周期结束，按评价标准进行评价，确认是否通过。通过后纳入到科室诊疗目录。支持按医院需求灵活调整管理流程，支持对新项目申请书进行结构化存储实现数据分析，审批通过的结果自动同步到医师、科室档案；支持对新技术申请的预警及预判的提醒通知。</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限制类技术管理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限制类技术管理，能够实现申请、审批、评价，按照限制类技术管理要求，对工作人员情况、项目所在科室的专用设备、设施及工作基础、项目的基本概况（包括国内外应用情况、适应证、禁忌证、不良反应、质量控制措施、疗效判定标准和评估方法、与其他医疗技术治疗同种疾病的比较、风险评估与应急预案）进行申请，医务部门进行审批，涉及伦理的需要提交伦理委员会进行审批，最终由专家组讨论确定。医务部门按照《医疗技术临床应用信誉评分标准（试行）》进行评估。支持提供限制类技术备案及临床应用上报。支持按医院需求灵活调整管理流程，支持对新项目申请书进行结构化存储实现数据分析。</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统计分析</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事前预警，系统可开放数据接口，与其他业务系统对接，加强资权限管理；支持对医院医务人员结构进行分析，支持动态监测医师的资格准入情况；支持人员职称、资质等信息与上一年度的变化情况分析，支持按医院要求灵活进行数据统计。</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 xml:space="preserve">医疗管理制度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提供医疗相关制度文件管理，支持对医疗制度、规范及工作经验文档进行在线归档，支持按岗位设置文档阅读权限，支持多途径在线查看浏览文档。 </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医疗核心制度监管</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通过信息化手段，全面监管医院十八项核心制度的落实情况，通过核心制度监测、预警、整改等功能，实现核心制度落实的闭环监管，方便医院了解医护人员在诊疗活动中的医疗质量安全核心制度落实问题，保障医院的医疗质量与安全。</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质控组织管理（组织架构）</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支持灵活设置质控管理小组成员，支持按院级、职能部门、科室三级考核组织设置，支持按年度生成组织架构，支持历史数据回溯。支持查看在岗期间成员的职位、职称及聘任时间等。</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医疗制度监测</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能够通过量化指标或现场查验指标方式对每类核心制度落实情况进行动态监测。具体要求：</w:t>
      </w:r>
    </w:p>
    <w:p>
      <w:pPr>
        <w:pStyle w:val="4"/>
        <w:keepNext w:val="0"/>
        <w:keepLines w:val="0"/>
        <w:pageBreakBefore w:val="0"/>
        <w:widowControl w:val="0"/>
        <w:numPr>
          <w:ilvl w:val="0"/>
          <w:numId w:val="4"/>
        </w:numPr>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可通过数据量化的核心制度，细化成量化指标，通过抽取的HIS、手麻、检验检查、病历质控等数据，对指标结果进行计算；</w:t>
      </w:r>
    </w:p>
    <w:p>
      <w:pPr>
        <w:pStyle w:val="4"/>
        <w:keepNext w:val="0"/>
        <w:keepLines w:val="0"/>
        <w:pageBreakBefore w:val="0"/>
        <w:widowControl w:val="0"/>
        <w:numPr>
          <w:ilvl w:val="0"/>
          <w:numId w:val="4"/>
        </w:numPr>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量化指标实现从指标落实趋势图、科室和医师完成情况排行图以及明细统计表来反馈指标执行结果，支持信息逐级下钻，支持查看各科室统计数据的明细信息。</w:t>
      </w:r>
    </w:p>
    <w:p>
      <w:pPr>
        <w:pStyle w:val="4"/>
        <w:keepNext w:val="0"/>
        <w:keepLines w:val="0"/>
        <w:pageBreakBefore w:val="0"/>
        <w:widowControl w:val="0"/>
        <w:numPr>
          <w:ilvl w:val="0"/>
          <w:numId w:val="4"/>
        </w:numPr>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现场查验指标要求能够支持对每类制度现场检查项目问题的记录。</w:t>
      </w:r>
    </w:p>
    <w:p>
      <w:pPr>
        <w:pStyle w:val="4"/>
        <w:keepNext w:val="0"/>
        <w:keepLines w:val="0"/>
        <w:pageBreakBefore w:val="0"/>
        <w:widowControl w:val="0"/>
        <w:numPr>
          <w:ilvl w:val="0"/>
          <w:numId w:val="4"/>
        </w:numPr>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监测制度需包括：首诊负责制度、三级查房制度、会诊制度、分级护理制度、值班和交接班制度、疑难病例讨论制度、急危重患者抢救制度、术前讨论制度、死亡病例讨论制度、查对制度、手术安全核查制度、手术分级管理制度、新技术和新项目准入制度、危急值报告制度、病历管理制度、抗菌药物分级管理制度、临床用血审核制度、信息安全管理制度。</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医疗制度预警</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能够对量化指标提供分级预警功能，根据指标各级预警值判断指标预警级别，展示各项核心制度指标达标和预警情况。具体如下：</w:t>
      </w:r>
    </w:p>
    <w:p>
      <w:pPr>
        <w:pStyle w:val="4"/>
        <w:keepNext w:val="0"/>
        <w:keepLines w:val="0"/>
        <w:pageBreakBefore w:val="0"/>
        <w:widowControl w:val="0"/>
        <w:numPr>
          <w:ilvl w:val="0"/>
          <w:numId w:val="5"/>
        </w:numPr>
        <w:kinsoku/>
        <w:wordWrap/>
        <w:overflowPunct/>
        <w:topLinePunct w:val="0"/>
        <w:autoSpaceDE/>
        <w:autoSpaceDN/>
        <w:bidi w:val="0"/>
        <w:adjustRightInd w:val="0"/>
        <w:snapToGrid w:val="0"/>
        <w:spacing w:after="0" w:line="360" w:lineRule="auto"/>
        <w:ind w:left="84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指标达标及预警情况分级提醒；</w:t>
      </w:r>
    </w:p>
    <w:p>
      <w:pPr>
        <w:pStyle w:val="4"/>
        <w:keepNext w:val="0"/>
        <w:keepLines w:val="0"/>
        <w:pageBreakBefore w:val="0"/>
        <w:widowControl w:val="0"/>
        <w:numPr>
          <w:ilvl w:val="0"/>
          <w:numId w:val="5"/>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指标异常信息筛选，包括科室、医师，并可查看具体患者就诊情况；</w:t>
      </w:r>
    </w:p>
    <w:p>
      <w:pPr>
        <w:pStyle w:val="4"/>
        <w:keepNext w:val="0"/>
        <w:keepLines w:val="0"/>
        <w:pageBreakBefore w:val="0"/>
        <w:widowControl w:val="0"/>
        <w:numPr>
          <w:ilvl w:val="0"/>
          <w:numId w:val="5"/>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指标问题鱼骨图展示。</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制度整改</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针对异常的制度或者指标提供制度整改功能，支持根本原因分析、改进计划的制定以及改进过程的跟踪。具体如下：</w:t>
      </w:r>
    </w:p>
    <w:p>
      <w:pPr>
        <w:pStyle w:val="4"/>
        <w:keepNext w:val="0"/>
        <w:keepLines w:val="0"/>
        <w:pageBreakBefore w:val="0"/>
        <w:widowControl w:val="0"/>
        <w:numPr>
          <w:ilvl w:val="0"/>
          <w:numId w:val="6"/>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根据RCA根因分析法排查根本原因，并对根本原因制定整改计划；</w:t>
      </w:r>
    </w:p>
    <w:p>
      <w:pPr>
        <w:pStyle w:val="4"/>
        <w:keepNext w:val="0"/>
        <w:keepLines w:val="0"/>
        <w:pageBreakBefore w:val="0"/>
        <w:widowControl w:val="0"/>
        <w:numPr>
          <w:ilvl w:val="0"/>
          <w:numId w:val="6"/>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整改任务全过程落实情况追踪，支持任务提醒、进度维护、执行情况反馈等。</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制度学习</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提供核心制度培训及考试功能，支持线上及线下完成培训考试活动，为医院提供便捷的医疗质量安全核心制度学习途径。具体如下：</w:t>
      </w:r>
    </w:p>
    <w:p>
      <w:pPr>
        <w:pStyle w:val="4"/>
        <w:keepNext w:val="0"/>
        <w:keepLines w:val="0"/>
        <w:pageBreakBefore w:val="0"/>
        <w:widowControl w:val="0"/>
        <w:numPr>
          <w:ilvl w:val="0"/>
          <w:numId w:val="7"/>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支持创建线上培训，发布培训资源在线学习；培训可关联考试，学习完成后自动提醒考试；可统计学习时长、考试成绩；</w:t>
      </w:r>
    </w:p>
    <w:p>
      <w:pPr>
        <w:pStyle w:val="4"/>
        <w:keepNext w:val="0"/>
        <w:keepLines w:val="0"/>
        <w:pageBreakBefore w:val="0"/>
        <w:widowControl w:val="0"/>
        <w:numPr>
          <w:ilvl w:val="0"/>
          <w:numId w:val="7"/>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支持创建线上考试，指定考试题目、考试人员，进行在线考试；可自动统计成绩。</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分析报告</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实现对医院核心制度阶段性落实情况的总结分析，具体如下：</w:t>
      </w:r>
    </w:p>
    <w:p>
      <w:pPr>
        <w:pStyle w:val="4"/>
        <w:keepNext w:val="0"/>
        <w:keepLines w:val="0"/>
        <w:pageBreakBefore w:val="0"/>
        <w:widowControl w:val="0"/>
        <w:numPr>
          <w:ilvl w:val="0"/>
          <w:numId w:val="8"/>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通过系统自动生成任意时间段的医疗安全核心制度落实情况分析报告；</w:t>
      </w:r>
    </w:p>
    <w:p>
      <w:pPr>
        <w:pStyle w:val="4"/>
        <w:keepNext w:val="0"/>
        <w:keepLines w:val="0"/>
        <w:pageBreakBefore w:val="0"/>
        <w:widowControl w:val="0"/>
        <w:numPr>
          <w:ilvl w:val="0"/>
          <w:numId w:val="8"/>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支持报告的在线预览及下载；</w:t>
      </w:r>
    </w:p>
    <w:p>
      <w:pPr>
        <w:pStyle w:val="4"/>
        <w:keepNext w:val="0"/>
        <w:keepLines w:val="0"/>
        <w:pageBreakBefore w:val="0"/>
        <w:widowControl w:val="0"/>
        <w:numPr>
          <w:ilvl w:val="0"/>
          <w:numId w:val="8"/>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报告模板可自定义。</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制度管理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能够实现灵活的制度维护、量化指标管理、现场查验指标管理、流程设计、评分配置等功能。具体如下：</w:t>
      </w:r>
    </w:p>
    <w:p>
      <w:pPr>
        <w:pStyle w:val="4"/>
        <w:keepNext w:val="0"/>
        <w:keepLines w:val="0"/>
        <w:pageBreakBefore w:val="0"/>
        <w:widowControl w:val="0"/>
        <w:numPr>
          <w:ilvl w:val="0"/>
          <w:numId w:val="9"/>
        </w:numPr>
        <w:kinsoku/>
        <w:wordWrap/>
        <w:overflowPunct/>
        <w:topLinePunct w:val="0"/>
        <w:autoSpaceDE/>
        <w:autoSpaceDN/>
        <w:bidi w:val="0"/>
        <w:adjustRightInd w:val="0"/>
        <w:snapToGrid w:val="0"/>
        <w:spacing w:after="0" w:line="360" w:lineRule="auto"/>
        <w:ind w:left="84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实现核心制度基本内容、考核要点的维护；</w:t>
      </w:r>
    </w:p>
    <w:p>
      <w:pPr>
        <w:pStyle w:val="4"/>
        <w:keepNext w:val="0"/>
        <w:keepLines w:val="0"/>
        <w:pageBreakBefore w:val="0"/>
        <w:widowControl w:val="0"/>
        <w:numPr>
          <w:ilvl w:val="0"/>
          <w:numId w:val="9"/>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量化指标支持维护指标计算公式、目标值、正负向、筛选规则、统计维度等信息；</w:t>
      </w:r>
    </w:p>
    <w:p>
      <w:pPr>
        <w:pStyle w:val="4"/>
        <w:keepNext w:val="0"/>
        <w:keepLines w:val="0"/>
        <w:pageBreakBefore w:val="0"/>
        <w:widowControl w:val="0"/>
        <w:numPr>
          <w:ilvl w:val="0"/>
          <w:numId w:val="9"/>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支持维护现场查验指标的检查方法、检查标准、指标名称等信息。</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医疗投诉纠纷管理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依据国家标准和规范，围绕“以患者为中心”，实现医疗纠纷预警及医疗纠纷信息电子化管理功能。其中表单填报支持从HIS/中台中采集患者个人信息并自动填充，以提升纠纷信息填报效率。同时针对各类纠纷事件，支持后续处置情况的详细记录及文件上传功能。对于未能顺利化解的医疗纠纷，支持切换处置方式的功能，并自动生成流程切换记录，便于后续查阅。系统可帮助管理科室实现对医疗纠纷事件的流程化、可视化、闭环的管控并在需要时可及时干预，进而为医院日常稳定运营保驾护航。</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医疗纠纷预警登记</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记录患者基本信息、纠纷预警级别、纠纷预警事件的详情、经过等内容。同时系统支持对接中台、HIS，进而实现患者信息的快速抓取及自动填充。</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医疗纠纷预警处理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针对提交上来的纠纷预警信息，管理科室可审批并填写处理日期、处理详情说明等信息，如果预警已化解，则可完成处理，即完结，而如果已经演变为纠纷，则可一键生成相应的纠纷记录。</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医疗纠纷预警汇总</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支持以时间、科室等维度来查询院内医疗纠纷预警信息，并对查询出来的数据支持多维度的图表分析及数据下钻功能。</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医疗纠纷信息登记</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记录患者基本信息、申诉人的基本信息、处置方式、事件内容、事件诉求、投诉原因、被投诉人等信息。同时系统支持对接中台、HIS，进而实现患者信息的快速抓取及自动填充。由于申诉人不一定是患者本人，因此系统支持对申诉人相关信息的记录功能。由于医疗纠纷的严重程度不同，系统支持不同的纠纷处置方式，如院内调解、保险理赔、司法诉讼、行政调解及简易处理等方式，并且针对不同处置方式的纠纷信息，系统提供相应的处置情况记录功能，如处理结果、患者满意度、事件责任度、赔偿金额、判决记录、鉴定记录、调解记录及回访记录等信息。并且对重要文件提供上传保存功能，如司法诉讼文件等。若前期纠纷的处置方式未能顺利化解纠纷，系统支持切换处置方式功能，如从院内调解切换为司法诉讼，系统并自动生成流程切换记录，便于日后查阅。同时支持管理科室向临床科室下达纠纷处理任务，并自动生成科室转办记录。</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医疗纠纷信息查询</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支持以时间、科室等维度来查询院内医疗纠纷信息，并对查询出来的数据支持多维度的图表分析及数据下钻功能。</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科室转办处理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临床端使用该功能，可接收管理科室分配给临床科室的纠纷处理任务，临床科室可在此详细记录后续的纠纷处置情况说明，管理科室使用该功能，可查看所有下发的纠纷处理任务及后续纠纷处置情况说明等信息。</w:t>
      </w:r>
    </w:p>
    <w:p>
      <w:pPr>
        <w:pStyle w:val="3"/>
        <w:pageBreakBefore w:val="0"/>
        <w:numPr>
          <w:ilvl w:val="1"/>
          <w:numId w:val="3"/>
        </w:numPr>
        <w:kinsoku/>
        <w:wordWrap/>
        <w:overflowPunct/>
        <w:topLinePunct w:val="0"/>
        <w:autoSpaceDE/>
        <w:autoSpaceDN/>
        <w:bidi w:val="0"/>
        <w:spacing w:line="360" w:lineRule="auto"/>
        <w:ind w:left="425" w:leftChars="0" w:hanging="425" w:firstLineChars="0"/>
        <w:textAlignment w:val="auto"/>
        <w:outlineLvl w:val="2"/>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医疗纠纷系统配置</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可对纠纷预警及纠纷信息表单中的填报内容进行维护，如投诉方式、事件类型、纠纷处置方式等，同时可对科室转办的纠纷信息的查、改、删权限进行个性化配置。</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bookmarkStart w:id="0" w:name="_GoBack"/>
      <w:r>
        <w:rPr>
          <w:rFonts w:hint="eastAsia" w:ascii="宋体" w:hAnsi="宋体" w:eastAsia="宋体" w:cs="宋体"/>
          <w:b/>
          <w:bCs/>
          <w:color w:val="auto"/>
          <w:kern w:val="2"/>
          <w:sz w:val="24"/>
          <w:szCs w:val="24"/>
          <w:lang w:val="en-US" w:eastAsia="zh-CN" w:bidi="ar-SA"/>
        </w:rPr>
        <w:t xml:space="preserve">医疗业务指标监测 </w:t>
      </w:r>
    </w:p>
    <w:bookmarkEnd w:id="0"/>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实时监控和评估医院各项医疗业务指标，包括诊疗量、治愈率、手术量、医疗事故发生率等，以确保医院医疗服务的质量和效率。通过收集和分析数据，监测功能能够帮助医院管理者发现潜在问题，及时调整管理策略，优化资源配置，提高医疗服务水平，从而满足患者的需求，并促进医院的可持续发展。</w:t>
      </w:r>
    </w:p>
    <w:p>
      <w:pPr>
        <w:pStyle w:val="4"/>
        <w:keepNext w:val="0"/>
        <w:keepLines w:val="0"/>
        <w:pageBreakBefore w:val="0"/>
        <w:widowControl w:val="0"/>
        <w:numPr>
          <w:ilvl w:val="0"/>
          <w:numId w:val="10"/>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监测指标维护：维护医疗监测指标，包括监测周期，指标类型，计目标值等，可定制设计数据源及计算方法。 </w:t>
      </w:r>
    </w:p>
    <w:p>
      <w:pPr>
        <w:pStyle w:val="4"/>
        <w:keepNext w:val="0"/>
        <w:keepLines w:val="0"/>
        <w:pageBreakBefore w:val="0"/>
        <w:widowControl w:val="0"/>
        <w:numPr>
          <w:ilvl w:val="0"/>
          <w:numId w:val="10"/>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指标月度监测：按月自动提取各科监测指标数据，也可支持手工填报。 </w:t>
      </w:r>
    </w:p>
    <w:p>
      <w:pPr>
        <w:pStyle w:val="4"/>
        <w:keepNext w:val="0"/>
        <w:keepLines w:val="0"/>
        <w:pageBreakBefore w:val="0"/>
        <w:widowControl w:val="0"/>
        <w:numPr>
          <w:ilvl w:val="0"/>
          <w:numId w:val="10"/>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重点指标维护：维护医疗重点监测指标。 </w:t>
      </w:r>
    </w:p>
    <w:p>
      <w:pPr>
        <w:pStyle w:val="4"/>
        <w:keepNext w:val="0"/>
        <w:keepLines w:val="0"/>
        <w:pageBreakBefore w:val="0"/>
        <w:widowControl w:val="0"/>
        <w:numPr>
          <w:ilvl w:val="0"/>
          <w:numId w:val="10"/>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重点监测指标填报：按月填报科室重点监测指标。 </w:t>
      </w:r>
    </w:p>
    <w:p>
      <w:pPr>
        <w:pStyle w:val="4"/>
        <w:keepNext w:val="0"/>
        <w:keepLines w:val="0"/>
        <w:pageBreakBefore w:val="0"/>
        <w:widowControl w:val="0"/>
        <w:numPr>
          <w:ilvl w:val="0"/>
          <w:numId w:val="10"/>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患者信息关联：支持患者基本信息关联输入。 </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 xml:space="preserve">医政上报管理 </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按照上级主管部门的要求，满足上级主管部门、卫生行政部门或其他相关机构的数据需求。通过自动化的数据抓取、校验和报告生成流程，医务数据上报管理能够提升数据处理的效率，降低人为错误，同时保障医院数据的隐私和安全性。此外，该功能还支持数据的可视化展示和趋势分析，为医院管理层提供决策支持，促进医院管理的科学化和精细化。上报数据包括以下内容，也可根据医院的要求定制化上报：</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传染患者上报</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危急值上报</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危重患者上报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抢救患者上报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死亡患者上报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住院超 30 天患者上报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非术后出院 31 天内再住院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 xml:space="preserve">术后出院 31 天内再住院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术后并发症患者上报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非计划再次手术患者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临床用血患者上报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会诊患者上报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传染病患者上报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非计划再次手术报告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每月考勤上报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每月备查病历上报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每月检查互认上报 </w:t>
      </w:r>
    </w:p>
    <w:p>
      <w:pPr>
        <w:pStyle w:val="4"/>
        <w:keepNext w:val="0"/>
        <w:keepLines w:val="0"/>
        <w:pageBreakBefore w:val="0"/>
        <w:widowControl w:val="0"/>
        <w:numPr>
          <w:ilvl w:val="0"/>
          <w:numId w:val="11"/>
        </w:numPr>
        <w:kinsoku/>
        <w:wordWrap/>
        <w:overflowPunct/>
        <w:topLinePunct w:val="0"/>
        <w:autoSpaceDE/>
        <w:autoSpaceDN/>
        <w:bidi w:val="0"/>
        <w:adjustRightInd w:val="0"/>
        <w:snapToGrid w:val="0"/>
        <w:spacing w:after="0" w:line="360" w:lineRule="auto"/>
        <w:ind w:left="84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超 30 天住院上报 </w:t>
      </w:r>
    </w:p>
    <w:p>
      <w:pPr>
        <w:pStyle w:val="3"/>
        <w:pageBreakBefore w:val="0"/>
        <w:numPr>
          <w:ilvl w:val="0"/>
          <w:numId w:val="3"/>
        </w:numPr>
        <w:kinsoku/>
        <w:wordWrap/>
        <w:overflowPunct/>
        <w:topLinePunct w:val="0"/>
        <w:autoSpaceDE/>
        <w:autoSpaceDN/>
        <w:bidi w:val="0"/>
        <w:spacing w:line="360" w:lineRule="auto"/>
        <w:ind w:left="425" w:leftChars="0" w:hanging="425" w:firstLineChars="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移动医政管理</w:t>
      </w:r>
    </w:p>
    <w:p>
      <w:pPr>
        <w:pStyle w:val="4"/>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各级管理人员及医师提供移动端操作，包括：移动医务工作台；技术档案上报与查询、科室档案上报与查询；医疗专业技术资质申请、审批与查询；医疗管理制度查询；医疗核心制度监管与预警通知；医疗业务指标监测查询；医疗纠纷上报、处理与查询等。</w:t>
      </w:r>
    </w:p>
    <w:p>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60CFFD"/>
    <w:multiLevelType w:val="singleLevel"/>
    <w:tmpl w:val="8F60CFFD"/>
    <w:lvl w:ilvl="0" w:tentative="0">
      <w:start w:val="1"/>
      <w:numFmt w:val="decimal"/>
      <w:lvlText w:val="%1."/>
      <w:lvlJc w:val="left"/>
      <w:pPr>
        <w:tabs>
          <w:tab w:val="left" w:pos="420"/>
        </w:tabs>
        <w:ind w:left="845" w:hanging="425"/>
      </w:pPr>
      <w:rPr>
        <w:rFonts w:hint="default"/>
      </w:rPr>
    </w:lvl>
  </w:abstractNum>
  <w:abstractNum w:abstractNumId="1">
    <w:nsid w:val="BB821CD6"/>
    <w:multiLevelType w:val="singleLevel"/>
    <w:tmpl w:val="BB821CD6"/>
    <w:lvl w:ilvl="0" w:tentative="0">
      <w:start w:val="1"/>
      <w:numFmt w:val="decimal"/>
      <w:lvlText w:val="%1."/>
      <w:lvlJc w:val="left"/>
      <w:pPr>
        <w:tabs>
          <w:tab w:val="left" w:pos="420"/>
        </w:tabs>
        <w:ind w:left="845" w:hanging="425"/>
      </w:pPr>
      <w:rPr>
        <w:rFonts w:hint="default"/>
      </w:rPr>
    </w:lvl>
  </w:abstractNum>
  <w:abstractNum w:abstractNumId="2">
    <w:nsid w:val="CC8F1907"/>
    <w:multiLevelType w:val="singleLevel"/>
    <w:tmpl w:val="CC8F1907"/>
    <w:lvl w:ilvl="0" w:tentative="0">
      <w:start w:val="1"/>
      <w:numFmt w:val="decimal"/>
      <w:lvlText w:val="%1."/>
      <w:lvlJc w:val="left"/>
      <w:pPr>
        <w:tabs>
          <w:tab w:val="left" w:pos="420"/>
        </w:tabs>
        <w:ind w:left="845" w:hanging="425"/>
      </w:pPr>
      <w:rPr>
        <w:rFonts w:hint="default"/>
      </w:rPr>
    </w:lvl>
  </w:abstractNum>
  <w:abstractNum w:abstractNumId="3">
    <w:nsid w:val="EA82B411"/>
    <w:multiLevelType w:val="singleLevel"/>
    <w:tmpl w:val="EA82B411"/>
    <w:lvl w:ilvl="0" w:tentative="0">
      <w:start w:val="1"/>
      <w:numFmt w:val="decimal"/>
      <w:lvlText w:val="(%1)"/>
      <w:lvlJc w:val="left"/>
      <w:pPr>
        <w:tabs>
          <w:tab w:val="left" w:pos="420"/>
        </w:tabs>
        <w:ind w:left="845" w:hanging="425"/>
      </w:pPr>
      <w:rPr>
        <w:rFonts w:hint="default"/>
      </w:rPr>
    </w:lvl>
  </w:abstractNum>
  <w:abstractNum w:abstractNumId="4">
    <w:nsid w:val="0F38D40C"/>
    <w:multiLevelType w:val="multilevel"/>
    <w:tmpl w:val="0F38D40C"/>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5">
    <w:nsid w:val="191FE361"/>
    <w:multiLevelType w:val="multilevel"/>
    <w:tmpl w:val="191FE361"/>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6">
    <w:nsid w:val="222F62FB"/>
    <w:multiLevelType w:val="singleLevel"/>
    <w:tmpl w:val="222F62FB"/>
    <w:lvl w:ilvl="0" w:tentative="0">
      <w:start w:val="1"/>
      <w:numFmt w:val="decimal"/>
      <w:lvlText w:val="%1."/>
      <w:lvlJc w:val="left"/>
      <w:pPr>
        <w:tabs>
          <w:tab w:val="left" w:pos="420"/>
        </w:tabs>
        <w:ind w:left="845" w:hanging="425"/>
      </w:pPr>
      <w:rPr>
        <w:rFonts w:hint="default"/>
      </w:rPr>
    </w:lvl>
  </w:abstractNum>
  <w:abstractNum w:abstractNumId="7">
    <w:nsid w:val="23B9AA60"/>
    <w:multiLevelType w:val="singleLevel"/>
    <w:tmpl w:val="23B9AA60"/>
    <w:lvl w:ilvl="0" w:tentative="0">
      <w:start w:val="1"/>
      <w:numFmt w:val="decimal"/>
      <w:lvlText w:val="%1."/>
      <w:lvlJc w:val="left"/>
      <w:pPr>
        <w:tabs>
          <w:tab w:val="left" w:pos="420"/>
        </w:tabs>
        <w:ind w:left="845" w:hanging="425"/>
      </w:pPr>
      <w:rPr>
        <w:rFonts w:hint="default"/>
      </w:rPr>
    </w:lvl>
  </w:abstractNum>
  <w:abstractNum w:abstractNumId="8">
    <w:nsid w:val="38B80778"/>
    <w:multiLevelType w:val="singleLevel"/>
    <w:tmpl w:val="38B80778"/>
    <w:lvl w:ilvl="0" w:tentative="0">
      <w:start w:val="1"/>
      <w:numFmt w:val="decimal"/>
      <w:lvlText w:val="%1."/>
      <w:lvlJc w:val="left"/>
      <w:pPr>
        <w:tabs>
          <w:tab w:val="left" w:pos="420"/>
        </w:tabs>
        <w:ind w:left="845" w:hanging="425"/>
      </w:pPr>
      <w:rPr>
        <w:rFonts w:hint="default"/>
      </w:rPr>
    </w:lvl>
  </w:abstractNum>
  <w:abstractNum w:abstractNumId="9">
    <w:nsid w:val="398BB1DA"/>
    <w:multiLevelType w:val="singleLevel"/>
    <w:tmpl w:val="398BB1DA"/>
    <w:lvl w:ilvl="0" w:tentative="0">
      <w:start w:val="1"/>
      <w:numFmt w:val="decimal"/>
      <w:lvlText w:val="%1."/>
      <w:lvlJc w:val="left"/>
      <w:pPr>
        <w:tabs>
          <w:tab w:val="left" w:pos="312"/>
        </w:tabs>
      </w:pPr>
    </w:lvl>
  </w:abstractNum>
  <w:abstractNum w:abstractNumId="10">
    <w:nsid w:val="51548D38"/>
    <w:multiLevelType w:val="singleLevel"/>
    <w:tmpl w:val="51548D38"/>
    <w:lvl w:ilvl="0" w:tentative="0">
      <w:start w:val="1"/>
      <w:numFmt w:val="decimal"/>
      <w:lvlText w:val="%1."/>
      <w:lvlJc w:val="left"/>
      <w:pPr>
        <w:tabs>
          <w:tab w:val="left" w:pos="420"/>
        </w:tabs>
        <w:ind w:left="845" w:hanging="425"/>
      </w:pPr>
      <w:rPr>
        <w:rFonts w:hint="default"/>
      </w:rPr>
    </w:lvl>
  </w:abstractNum>
  <w:num w:numId="1">
    <w:abstractNumId w:val="3"/>
  </w:num>
  <w:num w:numId="2">
    <w:abstractNumId w:val="5"/>
  </w:num>
  <w:num w:numId="3">
    <w:abstractNumId w:val="4"/>
  </w:num>
  <w:num w:numId="4">
    <w:abstractNumId w:val="9"/>
  </w:num>
  <w:num w:numId="5">
    <w:abstractNumId w:val="7"/>
  </w:num>
  <w:num w:numId="6">
    <w:abstractNumId w:val="6"/>
  </w:num>
  <w:num w:numId="7">
    <w:abstractNumId w:val="10"/>
  </w:num>
  <w:num w:numId="8">
    <w:abstractNumId w:val="0"/>
  </w:num>
  <w:num w:numId="9">
    <w:abstractNumId w:val="1"/>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YTc1Yzk2MDVhNThiN2Q3NDAxMDU2ZGU1MmE2YjkifQ=="/>
  </w:docVars>
  <w:rsids>
    <w:rsidRoot w:val="00000000"/>
    <w:rsid w:val="2E69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autoRedefine/>
    <w:semiHidden/>
    <w:uiPriority w:val="0"/>
    <w:tblPr>
      <w:tblCellMar>
        <w:top w:w="0" w:type="dxa"/>
        <w:left w:w="108" w:type="dxa"/>
        <w:bottom w:w="0" w:type="dxa"/>
        <w:right w:w="108" w:type="dxa"/>
      </w:tblCellMar>
    </w:tblPr>
  </w:style>
  <w:style w:type="paragraph" w:styleId="4">
    <w:name w:val="Body Text"/>
    <w:basedOn w:val="1"/>
    <w:unhideWhenUsed/>
    <w:qFormat/>
    <w:uiPriority w:val="0"/>
    <w:pPr>
      <w:spacing w:after="120"/>
    </w:pPr>
    <w:rPr>
      <w:rFonts w:hint="eastAsia" w:ascii="宋体" w:hAnsi="宋体" w:eastAsia="仿宋" w:cs="宋体"/>
      <w:kern w:val="0"/>
      <w:sz w:val="24"/>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2024-03-12T00:34:35Z</dcterms:created>
  <dc:creator>Administrator</dc:creator>
  <cp:lastModifiedBy>hxl</cp:lastModifiedBy>
  <dcterms:modified xsi:type="dcterms:W3CDTF">2024-03-12T00:37:35Z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A13D5F6C821B4900ADBF51009E2F439E_12</vt:lpwstr>
  </property>
</Properties>
</file>